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03AA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503773</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Wuhan, Hubei, China, 07</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11</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April</w:t>
      </w:r>
      <w:r>
        <w:rPr>
          <w:rFonts w:hint="default" w:ascii="Times New Roman" w:hAnsi="Times New Roman" w:cs="Times New Roman"/>
          <w:b/>
          <w:bCs/>
          <w:sz w:val="24"/>
          <w:highlight w:val="none"/>
        </w:rPr>
        <w:t>, 2025</w:t>
      </w:r>
    </w:p>
    <w:p w14:paraId="3D617AAD">
      <w:pPr>
        <w:tabs>
          <w:tab w:val="left" w:pos="1985"/>
        </w:tabs>
        <w:rPr>
          <w:rFonts w:ascii="Times New Roman" w:hAnsi="Times New Roman"/>
          <w:b/>
          <w:sz w:val="22"/>
          <w:highlight w:val="none"/>
        </w:rPr>
      </w:pPr>
    </w:p>
    <w:p w14:paraId="3676EA0C">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20.2</w:t>
      </w:r>
    </w:p>
    <w:p w14:paraId="6C5DDFAA">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E69CEEC">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testing issues for CSI compression two-sided models</w:t>
      </w:r>
    </w:p>
    <w:bookmarkEnd w:id="4"/>
    <w:bookmarkEnd w:id="5"/>
    <w:p w14:paraId="34A4438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6F58EC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Introduction</w:t>
      </w:r>
    </w:p>
    <w:p w14:paraId="756A966C">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lang w:val="en-US" w:eastAsia="zh-CN"/>
        </w:rPr>
        <w:t xml:space="preserve">a new SID on Artificial Intelligence (AI)/Machine Learning (ML) for NR air interface Phase 2 was approved [1], and the objectives are same as the study aspects that were included in the REL-19 NR_AIML_air WI [2].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4A8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1C16C23">
            <w:pPr>
              <w:numPr>
                <w:ilvl w:val="0"/>
                <w:numId w:val="4"/>
              </w:numPr>
              <w:spacing w:after="0"/>
              <w:ind w:left="420" w:leftChars="0" w:hanging="420" w:firstLine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971807E">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A66B590">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37D5796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FA56B5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7EEA0EA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955C76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3C862D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405188DE">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t</w:t>
      </w:r>
      <w:r>
        <w:rPr>
          <w:rFonts w:hint="eastAsia" w:ascii="Times New Roman" w:hAnsi="Times New Roman"/>
          <w:sz w:val="20"/>
          <w:szCs w:val="20"/>
        </w:rPr>
        <w:t>esting issues for CSI compression two-sided models.</w:t>
      </w:r>
    </w:p>
    <w:p w14:paraId="059097A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eastAsia="等线"/>
          <w:bCs/>
          <w:iCs/>
          <w:sz w:val="20"/>
          <w:szCs w:val="20"/>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bookmarkEnd w:id="6"/>
      <w:bookmarkEnd w:id="7"/>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3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945AC4B">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1-3</w:t>
            </w:r>
            <w:r>
              <w:rPr>
                <w:rFonts w:hint="default" w:ascii="Times New Roman" w:hAnsi="Times New Roman" w:cs="Times New Roman"/>
                <w:b/>
                <w:sz w:val="20"/>
                <w:szCs w:val="20"/>
                <w:u w:val="single"/>
                <w:lang w:eastAsia="ko-KR"/>
              </w:rPr>
              <w:t>: Option 4</w:t>
            </w:r>
            <w:r>
              <w:rPr>
                <w:rFonts w:hint="default" w:ascii="Times New Roman" w:hAnsi="Times New Roman" w:eastAsia="Yu Mincho" w:cs="Times New Roman"/>
                <w:b/>
                <w:sz w:val="20"/>
                <w:szCs w:val="20"/>
                <w:u w:val="single"/>
                <w:lang w:eastAsia="ja-JP"/>
              </w:rPr>
              <w:t>a(Dataset based)</w:t>
            </w:r>
            <w:r>
              <w:rPr>
                <w:rFonts w:hint="default" w:ascii="Times New Roman" w:hAnsi="Times New Roman" w:cs="Times New Roman"/>
                <w:b/>
                <w:sz w:val="20"/>
                <w:szCs w:val="20"/>
                <w:u w:val="single"/>
                <w:lang w:eastAsia="ko-KR"/>
              </w:rPr>
              <w:t xml:space="preserve"> for 2-sided model</w:t>
            </w:r>
            <w:r>
              <w:rPr>
                <w:rFonts w:hint="default" w:ascii="Times New Roman" w:hAnsi="Times New Roman" w:eastAsia="Yu Mincho" w:cs="Times New Roman"/>
                <w:b/>
                <w:sz w:val="20"/>
                <w:szCs w:val="20"/>
                <w:u w:val="single"/>
                <w:lang w:eastAsia="ja-JP"/>
              </w:rPr>
              <w:t xml:space="preserve"> </w:t>
            </w:r>
          </w:p>
          <w:p w14:paraId="64DD9A33">
            <w:pPr>
              <w:pStyle w:val="10"/>
              <w:numPr>
                <w:ilvl w:val="2"/>
                <w:numId w:val="6"/>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1-3: Reuse results of Option 3</w:t>
            </w:r>
          </w:p>
          <w:p w14:paraId="24718400">
            <w:pPr>
              <w:pStyle w:val="10"/>
              <w:numPr>
                <w:ilvl w:val="2"/>
                <w:numId w:val="6"/>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4: Select one or more Eigenvalue dataset(s) for further analysis based option 3</w:t>
            </w:r>
          </w:p>
          <w:p w14:paraId="31E1B5F0">
            <w:pPr>
              <w:pStyle w:val="10"/>
              <w:numPr>
                <w:ilvl w:val="3"/>
                <w:numId w:val="6"/>
              </w:numPr>
              <w:overflowPunct w:val="0"/>
              <w:autoSpaceDE w:val="0"/>
              <w:autoSpaceDN w:val="0"/>
              <w:adjustRightInd w:val="0"/>
              <w:spacing w:after="120"/>
              <w:ind w:left="426" w:firstLine="141"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Selection criteria: select the dataset(s) generated from the selected encoder and decoder pair(s) from Option 3 track 1</w:t>
            </w:r>
          </w:p>
          <w:p w14:paraId="3B0D8C08">
            <w:pPr>
              <w:pStyle w:val="10"/>
              <w:numPr>
                <w:ilvl w:val="3"/>
                <w:numId w:val="6"/>
              </w:numPr>
              <w:overflowPunct w:val="0"/>
              <w:autoSpaceDE w:val="0"/>
              <w:autoSpaceDN w:val="0"/>
              <w:adjustRightInd w:val="0"/>
              <w:spacing w:after="120"/>
              <w:ind w:left="426" w:firstLine="141"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Or mixed dataset from track 2</w:t>
            </w:r>
          </w:p>
          <w:p w14:paraId="11C1F290">
            <w:pPr>
              <w:pStyle w:val="10"/>
              <w:numPr>
                <w:ilvl w:val="2"/>
                <w:numId w:val="6"/>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5: Label selected dataset(s) (mapping of encoder input to latent message) [using encoder] corresponding to the selected test decoder(s) from option 3</w:t>
            </w:r>
          </w:p>
          <w:p w14:paraId="53F1992F">
            <w:pPr>
              <w:pStyle w:val="10"/>
              <w:numPr>
                <w:ilvl w:val="2"/>
                <w:numId w:val="6"/>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6: Compan</w:t>
            </w:r>
            <w:r>
              <w:rPr>
                <w:rFonts w:hint="default" w:ascii="Times New Roman" w:hAnsi="Times New Roman" w:eastAsia="Yu Mincho" w:cs="Times New Roman"/>
                <w:sz w:val="20"/>
                <w:szCs w:val="20"/>
                <w:lang w:eastAsia="ja-JP"/>
              </w:rPr>
              <w:t>ies</w:t>
            </w:r>
            <w:r>
              <w:rPr>
                <w:rFonts w:hint="default" w:ascii="Times New Roman" w:hAnsi="Times New Roman" w:cs="Times New Roman"/>
                <w:sz w:val="20"/>
                <w:szCs w:val="20"/>
                <w:lang w:eastAsia="zh-CN"/>
              </w:rPr>
              <w:t xml:space="preserve"> bring results for training of “own encoder(s) and decoder(s)” with selected dataset(s)</w:t>
            </w:r>
          </w:p>
          <w:p w14:paraId="768E91E3">
            <w:pPr>
              <w:pStyle w:val="10"/>
              <w:numPr>
                <w:ilvl w:val="3"/>
                <w:numId w:val="6"/>
              </w:numPr>
              <w:overflowPunct w:val="0"/>
              <w:autoSpaceDE w:val="0"/>
              <w:autoSpaceDN w:val="0"/>
              <w:adjustRightInd w:val="0"/>
              <w:spacing w:after="120"/>
              <w:ind w:left="2268" w:hanging="283"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Performance alignment to be checked/discussed</w:t>
            </w:r>
          </w:p>
          <w:p w14:paraId="567FAE4B">
            <w:pPr>
              <w:pStyle w:val="10"/>
              <w:numPr>
                <w:ilvl w:val="2"/>
                <w:numId w:val="6"/>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7: Conclude on overall feasibility of Option 4a</w:t>
            </w:r>
          </w:p>
          <w:p w14:paraId="7B4E64C2">
            <w:pPr>
              <w:pStyle w:val="10"/>
              <w:numPr>
                <w:ilvl w:val="3"/>
                <w:numId w:val="6"/>
              </w:numPr>
              <w:spacing w:after="120"/>
              <w:ind w:left="2268" w:hanging="284"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feasibility criteria to be discussed (e.g. Perform testing of all the UE encoders using all test decoders (replicating the process of testing UE’s against RAN4 requirements with different TE vendor decoders, others given in R4-2415376, etc ).</w:t>
            </w:r>
          </w:p>
          <w:p w14:paraId="7383EE7B">
            <w:pPr>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Encoder in step 5 should at least have the agreed structure. Companies can also bring analysis/results with other encoders(using different structures)</w:t>
            </w:r>
          </w:p>
          <w:p w14:paraId="36F52C01">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Selected test decoder and matching encoder pair from Option 3 can be used to generate the common dataset (that includes latent messages) based on aggregated/mixed dataset</w:t>
            </w:r>
          </w:p>
          <w:p w14:paraId="77C55B1F">
            <w:pPr>
              <w:rPr>
                <w:rFonts w:hint="default" w:ascii="Times New Roman" w:hAnsi="Times New Roman" w:eastAsia="Yu Mincho" w:cs="Times New Roman"/>
                <w:sz w:val="20"/>
                <w:szCs w:val="20"/>
                <w:lang w:val="en-US" w:eastAsia="ja-JP"/>
              </w:rPr>
            </w:pPr>
          </w:p>
          <w:p w14:paraId="57505D11">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1-4</w:t>
            </w:r>
            <w:r>
              <w:rPr>
                <w:rFonts w:hint="default" w:ascii="Times New Roman" w:hAnsi="Times New Roman" w:cs="Times New Roman"/>
                <w:b/>
                <w:sz w:val="20"/>
                <w:szCs w:val="20"/>
                <w:u w:val="single"/>
                <w:lang w:eastAsia="ko-KR"/>
              </w:rPr>
              <w:t>: Option 4</w:t>
            </w:r>
            <w:r>
              <w:rPr>
                <w:rFonts w:hint="default" w:ascii="Times New Roman" w:hAnsi="Times New Roman" w:eastAsia="Yu Mincho" w:cs="Times New Roman"/>
                <w:b/>
                <w:sz w:val="20"/>
                <w:szCs w:val="20"/>
                <w:u w:val="single"/>
                <w:lang w:eastAsia="ja-JP"/>
              </w:rPr>
              <w:t>b (encoder based)</w:t>
            </w:r>
            <w:r>
              <w:rPr>
                <w:rFonts w:hint="default" w:ascii="Times New Roman" w:hAnsi="Times New Roman" w:cs="Times New Roman"/>
                <w:b/>
                <w:sz w:val="20"/>
                <w:szCs w:val="20"/>
                <w:u w:val="single"/>
                <w:lang w:eastAsia="ko-KR"/>
              </w:rPr>
              <w:t xml:space="preserve"> for 2-sided model</w:t>
            </w:r>
            <w:r>
              <w:rPr>
                <w:rFonts w:hint="default" w:ascii="Times New Roman" w:hAnsi="Times New Roman" w:eastAsia="Yu Mincho" w:cs="Times New Roman"/>
                <w:b/>
                <w:sz w:val="20"/>
                <w:szCs w:val="20"/>
                <w:u w:val="single"/>
                <w:lang w:eastAsia="ja-JP"/>
              </w:rPr>
              <w:t xml:space="preserve"> </w:t>
            </w:r>
          </w:p>
          <w:p w14:paraId="7238EF7B">
            <w:pPr>
              <w:pStyle w:val="10"/>
              <w:numPr>
                <w:ilvl w:val="0"/>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1-3: Reuse results of Option 3</w:t>
            </w:r>
          </w:p>
          <w:p w14:paraId="0D484363">
            <w:pPr>
              <w:pStyle w:val="10"/>
              <w:numPr>
                <w:ilvl w:val="0"/>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4: Select one or more encoder(s) for further analysis based on option 3</w:t>
            </w:r>
          </w:p>
          <w:p w14:paraId="15A16379">
            <w:pPr>
              <w:pStyle w:val="10"/>
              <w:numPr>
                <w:ilvl w:val="1"/>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Selection criteria: select the encoder(s) from the selected encoder and decoder pair(s) of Option 3 track 1</w:t>
            </w:r>
          </w:p>
          <w:p w14:paraId="284DF0A0">
            <w:pPr>
              <w:pStyle w:val="10"/>
              <w:numPr>
                <w:ilvl w:val="1"/>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Or encoder(s) from the selected encoder and decoder pair(s) of Option 3 track 2</w:t>
            </w:r>
          </w:p>
          <w:p w14:paraId="511504CA">
            <w:pPr>
              <w:pStyle w:val="10"/>
              <w:numPr>
                <w:ilvl w:val="0"/>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5: Company brings results for training of “own decoder(s)” with selected encoder(s)</w:t>
            </w:r>
          </w:p>
          <w:p w14:paraId="2E658AFB">
            <w:pPr>
              <w:pStyle w:val="10"/>
              <w:numPr>
                <w:ilvl w:val="1"/>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Performance alignment to be checked/discussed</w:t>
            </w:r>
          </w:p>
          <w:p w14:paraId="0891919C">
            <w:pPr>
              <w:pStyle w:val="10"/>
              <w:numPr>
                <w:ilvl w:val="0"/>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6: Conclude on overall feasibility of Option 4b</w:t>
            </w:r>
          </w:p>
          <w:p w14:paraId="538BB9A7">
            <w:pPr>
              <w:pStyle w:val="10"/>
              <w:numPr>
                <w:ilvl w:val="1"/>
                <w:numId w:val="6"/>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Feasibility criteria to be discussed (e.g. Perform testing of all the UE encoders using all test decoders (replicating the process of testing UE’s against RAN4 requirements with different TE vendor decoders, others given in R4-2415376, etc ).</w:t>
            </w:r>
          </w:p>
          <w:p w14:paraId="49C941CF">
            <w:pPr>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sz w:val="20"/>
                <w:szCs w:val="20"/>
                <w:lang w:eastAsia="ja-JP"/>
              </w:rPr>
              <w:t>Encoder in step 5 should at least have the agreed structure. Companies can also bring analysis/results with other encoders (using different structures)</w:t>
            </w:r>
          </w:p>
        </w:tc>
      </w:tr>
    </w:tbl>
    <w:p w14:paraId="284EF80E">
      <w:pPr>
        <w:spacing w:after="180" w:line="240" w:lineRule="exact"/>
        <w:rPr>
          <w:rFonts w:hint="eastAsia" w:ascii="Times New Roman" w:hAnsi="Times New Roman" w:eastAsia="等线"/>
          <w:bCs/>
          <w:iCs/>
          <w:sz w:val="20"/>
          <w:szCs w:val="20"/>
          <w:lang w:val="en-US" w:eastAsia="zh-CN"/>
        </w:rPr>
      </w:pPr>
    </w:p>
    <w:p w14:paraId="570E1D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is to standarize test decoder. Instead of specification of decoder, option 4 is to standarize sufficient information so that TE vendor can develop a test decoder. In detail, there are 3 sub-options:</w:t>
      </w:r>
    </w:p>
    <w:p w14:paraId="190C3348">
      <w:pPr>
        <w:numPr>
          <w:ilvl w:val="0"/>
          <w:numId w:val="7"/>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4a: Dataset based: specify at least dataset based on which the test decoder can be implemented by TE vendors</w:t>
      </w:r>
    </w:p>
    <w:p w14:paraId="506335AD">
      <w:pPr>
        <w:numPr>
          <w:ilvl w:val="0"/>
          <w:numId w:val="7"/>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 xml:space="preserve">4b: Reference encoder based: encoder is documented in the specifications, used to derive a decoder to be implemented by TE vendors </w:t>
      </w:r>
    </w:p>
    <w:p w14:paraId="59840920">
      <w:pPr>
        <w:numPr>
          <w:ilvl w:val="0"/>
          <w:numId w:val="7"/>
        </w:numPr>
        <w:spacing w:after="180" w:line="240" w:lineRule="exact"/>
        <w:ind w:left="420" w:leftChars="0" w:hanging="420" w:firstLineChars="0"/>
        <w:rPr>
          <w:rFonts w:hint="default" w:ascii="Times New Roman" w:hAnsi="Times New Roman" w:eastAsia="等线" w:cs="Times New Roman"/>
          <w:bCs/>
          <w:iCs/>
          <w:sz w:val="20"/>
          <w:szCs w:val="20"/>
          <w:lang w:val="en-US" w:eastAsia="zh-CN"/>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4c: do not specify either reference encoder or dataset. specify enough constraints on the decoder output ordering</w:t>
      </w:r>
      <w:r>
        <w:rPr>
          <w:rFonts w:hint="default" w:ascii="Times New Roman" w:hAnsi="Times New Roman" w:eastAsia="等线" w:cs="Times New Roman"/>
          <w:bCs/>
          <w:iCs/>
          <w:sz w:val="20"/>
          <w:szCs w:val="20"/>
          <w:lang w:val="en-US" w:eastAsia="zh-CN"/>
        </w:rPr>
        <w:t xml:space="preserve">  </w:t>
      </w:r>
    </w:p>
    <w:p w14:paraId="10764FB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motivation of this test feasibility study for two-sided mode is to reduce the impact due to TE implemeting the test decoder so that TE could provide alligned results and the tests are repeatable.</w:t>
      </w:r>
    </w:p>
    <w:p w14:paraId="294D435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option 4a, if only dataset is specified, it is questionable above motivation can be achived, since decoder implement by TE vendor and encoder implemented by UE vendor may be based on different backbone. </w:t>
      </w:r>
    </w:p>
    <w:p w14:paraId="77C021A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option 4b, encoder is documented in the specification. Compared with option 3 with documenting doceder, there is not too much difference.</w:t>
      </w:r>
    </w:p>
    <w:p w14:paraId="4D1D0F5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4c, in our view, is a sub-set of option 3, which means option 3 discussion can be reused for option4.   </w:t>
      </w:r>
    </w:p>
    <w:p w14:paraId="31CAD13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proposed to document reference encoder and/or training dataset for Option 3 for the purpose of performance verification or TE test decoder verification. In last meeting, it was agreed that in order to verify the performance of CSI compression test decoder for calibration of test equipment, agree to define the reference encoder including encoder structure and parameters in RAN4. From this point of view, we do not see the ncessity to consider option 4 if option 3 is confirmed feasible.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05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97D3373">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Agreement</w:t>
            </w:r>
            <w:r>
              <w:rPr>
                <w:rFonts w:hint="default" w:ascii="Times New Roman" w:hAnsi="Times New Roman" w:cs="Times New Roman"/>
                <w:sz w:val="20"/>
                <w:szCs w:val="20"/>
                <w:u w:val="single"/>
                <w:lang w:val="en-US" w:eastAsia="zh-CN"/>
              </w:rPr>
              <w:t xml:space="preserve"> in RAN4 #114</w:t>
            </w:r>
            <w:r>
              <w:rPr>
                <w:rFonts w:hint="default" w:ascii="Times New Roman" w:hAnsi="Times New Roman" w:cs="Times New Roman"/>
                <w:sz w:val="20"/>
                <w:szCs w:val="20"/>
                <w:u w:val="single"/>
              </w:rPr>
              <w:t xml:space="preserve">: </w:t>
            </w:r>
          </w:p>
          <w:p w14:paraId="548CE602">
            <w:pPr>
              <w:rPr>
                <w:rFonts w:hint="default" w:ascii="Times New Roman" w:hAnsi="Times New Roman" w:cs="Times New Roman"/>
                <w:sz w:val="20"/>
                <w:szCs w:val="20"/>
                <w:u w:val="single"/>
              </w:rPr>
            </w:pPr>
          </w:p>
          <w:p w14:paraId="022B7B31">
            <w:pPr>
              <w:pStyle w:val="10"/>
              <w:numPr>
                <w:ilvl w:val="0"/>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To verify the performance of CSI compression test decoder for calibration of test equipment, agree to define the reference encoder including encoder structure and parameters in RAN4</w:t>
            </w:r>
          </w:p>
          <w:p w14:paraId="5921BFE5">
            <w:pPr>
              <w:pStyle w:val="10"/>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FFS on whether to specify it in TS or TR, and capture the conclusion in the TR conclusion part</w:t>
            </w:r>
          </w:p>
          <w:p w14:paraId="7ECB9DC4">
            <w:pPr>
              <w:pStyle w:val="10"/>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FFS on criterion for selection of reference encoder</w:t>
            </w:r>
          </w:p>
          <w:p w14:paraId="6470566C">
            <w:pPr>
              <w:pStyle w:val="10"/>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FFS on decision whether RAN4 or RAN5 will specify it</w:t>
            </w:r>
          </w:p>
          <w:p w14:paraId="37A36F11">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D0F244D">
      <w:pPr>
        <w:spacing w:after="180" w:line="240" w:lineRule="exact"/>
        <w:rPr>
          <w:rFonts w:hint="eastAsia" w:ascii="Times New Roman" w:hAnsi="Times New Roman" w:eastAsia="等线"/>
          <w:bCs/>
          <w:iCs/>
          <w:sz w:val="20"/>
          <w:szCs w:val="20"/>
          <w:lang w:val="en-US" w:eastAsia="zh-CN"/>
        </w:rPr>
      </w:pPr>
    </w:p>
    <w:p w14:paraId="6C033038">
      <w:pPr>
        <w:spacing w:after="180" w:line="240" w:lineRule="exact"/>
        <w:rPr>
          <w:rFonts w:ascii="Times New Roman" w:hAnsi="Times New Roman" w:eastAsia="Yu Mincho"/>
          <w:b/>
          <w:bCs/>
          <w:i/>
          <w:iCs/>
          <w:sz w:val="20"/>
          <w:szCs w:val="20"/>
          <w:lang w:eastAsia="ja-JP"/>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1</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it is proposed to discuss if option 3 is feasible, whether option 4 is still needed</w:t>
      </w:r>
      <w:r>
        <w:rPr>
          <w:rFonts w:ascii="Times New Roman" w:hAnsi="Times New Roman" w:eastAsia="Yu Mincho"/>
          <w:b/>
          <w:bCs/>
          <w:i/>
          <w:iCs/>
          <w:sz w:val="20"/>
          <w:szCs w:val="20"/>
          <w:lang w:eastAsia="ja-JP"/>
        </w:rPr>
        <w:t>.</w:t>
      </w:r>
    </w:p>
    <w:p w14:paraId="071EE491">
      <w:pPr>
        <w:spacing w:after="180" w:line="240" w:lineRule="exact"/>
        <w:rPr>
          <w:rFonts w:ascii="Times New Roman" w:hAnsi="Times New Roman" w:eastAsia="Yu Mincho"/>
          <w:b/>
          <w:bCs/>
          <w:i/>
          <w:iCs/>
          <w:sz w:val="20"/>
          <w:szCs w:val="20"/>
          <w:lang w:eastAsia="ja-JP"/>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39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0C8AE22">
            <w:pPr>
              <w:spacing w:after="120"/>
              <w:rPr>
                <w:rFonts w:hint="eastAsia"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eastAsia" w:ascii="Times New Roman" w:hAnsi="Times New Roman" w:cs="Times New Roman"/>
                <w:b/>
                <w:bCs/>
                <w:sz w:val="20"/>
                <w:szCs w:val="20"/>
                <w:lang w:val="en-US" w:eastAsia="zh-CN"/>
              </w:rPr>
              <w:t xml:space="preserve"> on </w:t>
            </w:r>
            <w:r>
              <w:rPr>
                <w:rFonts w:hint="default" w:ascii="Times New Roman" w:hAnsi="Times New Roman" w:eastAsia="游明朝" w:cs="Times New Roman"/>
                <w:b/>
                <w:bCs/>
                <w:sz w:val="20"/>
                <w:szCs w:val="20"/>
                <w:lang w:eastAsia="ja-JP"/>
              </w:rPr>
              <w:t>Dataset format</w:t>
            </w:r>
            <w:r>
              <w:rPr>
                <w:rFonts w:hint="eastAsia" w:ascii="Times New Roman" w:hAnsi="Times New Roman" w:cs="Times New Roman"/>
                <w:b/>
                <w:bCs/>
                <w:sz w:val="20"/>
                <w:szCs w:val="20"/>
                <w:lang w:val="en-US" w:eastAsia="zh-CN"/>
              </w:rPr>
              <w:t>:</w:t>
            </w:r>
          </w:p>
          <w:p w14:paraId="338019B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NumPy for dataset sharing</w:t>
            </w:r>
          </w:p>
          <w:p w14:paraId="653AA66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Do not use pickled data(compression mechanism)</w:t>
            </w:r>
          </w:p>
          <w:p w14:paraId="421CD143">
            <w:pPr>
              <w:spacing w:after="120"/>
              <w:rPr>
                <w:rFonts w:hint="default" w:ascii="Times New Roman" w:hAnsi="Times New Roman" w:cs="Times New Roman"/>
                <w:sz w:val="20"/>
                <w:szCs w:val="20"/>
                <w:lang w:eastAsia="ja-JP"/>
              </w:rPr>
            </w:pPr>
            <w:r>
              <w:rPr>
                <w:rFonts w:hint="default" w:ascii="Times New Roman" w:hAnsi="Times New Roman" w:eastAsia="游明朝" w:cs="Times New Roman"/>
                <w:sz w:val="20"/>
                <w:szCs w:val="20"/>
                <w:lang w:eastAsia="ja-JP"/>
              </w:rPr>
              <w:t>Use npy – single array in each file</w:t>
            </w:r>
          </w:p>
          <w:p w14:paraId="4ECDE27D">
            <w:pPr>
              <w:spacing w:after="120"/>
              <w:rPr>
                <w:rFonts w:hint="default" w:ascii="Times New Roman" w:hAnsi="Times New Roman" w:eastAsia="游明朝" w:cs="Times New Roman"/>
                <w:sz w:val="20"/>
                <w:szCs w:val="20"/>
                <w:lang w:eastAsia="ja-JP"/>
              </w:rPr>
            </w:pPr>
          </w:p>
          <w:p w14:paraId="0DF8A11F">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b/>
                <w:bCs/>
                <w:sz w:val="20"/>
                <w:szCs w:val="20"/>
                <w:lang w:eastAsia="ja-JP"/>
              </w:rPr>
              <w:t>Agreement</w:t>
            </w:r>
            <w:r>
              <w:rPr>
                <w:rFonts w:hint="eastAsia" w:ascii="Times New Roman" w:hAnsi="Times New Roman" w:cs="Times New Roman"/>
                <w:b/>
                <w:bCs/>
                <w:sz w:val="20"/>
                <w:szCs w:val="20"/>
                <w:lang w:val="en-US" w:eastAsia="zh-CN"/>
              </w:rPr>
              <w:t xml:space="preserve"> on </w:t>
            </w:r>
            <w:r>
              <w:rPr>
                <w:rFonts w:hint="default" w:ascii="Times New Roman" w:hAnsi="Times New Roman" w:eastAsia="游明朝" w:cs="Times New Roman"/>
                <w:b/>
                <w:bCs/>
                <w:sz w:val="20"/>
                <w:szCs w:val="20"/>
                <w:lang w:eastAsia="ja-JP"/>
              </w:rPr>
              <w:t>Training Data file format:</w:t>
            </w:r>
          </w:p>
          <w:p w14:paraId="0762A8B7">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Dataset/model input file format:</w:t>
            </w:r>
          </w:p>
          <w:p w14:paraId="1CFB292A">
            <w:pPr>
              <w:pStyle w:val="10"/>
              <w:numPr>
                <w:ilvl w:val="0"/>
                <w:numId w:val="6"/>
              </w:numPr>
              <w:spacing w:after="120"/>
              <w:ind w:left="289"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 (samples) X 2 (IQ) X nSB (number of subbands) X nPorts (number of CSI-RS ports) X nLayers (number of layers)</w:t>
            </w:r>
          </w:p>
          <w:p w14:paraId="6A66EE85">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other words, dataset should content following info:</w:t>
            </w:r>
          </w:p>
          <w:p w14:paraId="1CE721DF">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1st dimension: Number of samples</w:t>
            </w:r>
          </w:p>
          <w:p w14:paraId="26C88307">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2nd dimension: Real and imaginary</w:t>
            </w:r>
          </w:p>
          <w:p w14:paraId="739EB7BC">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3</w:t>
            </w:r>
            <w:r>
              <w:rPr>
                <w:rFonts w:hint="default" w:ascii="Times New Roman" w:hAnsi="Times New Roman" w:eastAsia="游明朝" w:cs="Times New Roman"/>
                <w:sz w:val="20"/>
                <w:szCs w:val="20"/>
                <w:vertAlign w:val="superscript"/>
                <w:lang w:eastAsia="ja-JP"/>
              </w:rPr>
              <w:t>rd</w:t>
            </w:r>
            <w:r>
              <w:rPr>
                <w:rFonts w:hint="default" w:ascii="Times New Roman" w:hAnsi="Times New Roman" w:eastAsia="游明朝" w:cs="Times New Roman"/>
                <w:sz w:val="20"/>
                <w:szCs w:val="20"/>
                <w:lang w:eastAsia="ja-JP"/>
              </w:rPr>
              <w:t xml:space="preserve"> dimension: Number of sub-bands</w:t>
            </w:r>
          </w:p>
          <w:p w14:paraId="13EE0452">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4</w:t>
            </w:r>
            <w:r>
              <w:rPr>
                <w:rFonts w:hint="default" w:ascii="Times New Roman" w:hAnsi="Times New Roman" w:eastAsia="游明朝" w:cs="Times New Roman"/>
                <w:sz w:val="20"/>
                <w:szCs w:val="20"/>
                <w:vertAlign w:val="superscript"/>
                <w:lang w:eastAsia="ja-JP"/>
              </w:rPr>
              <w:t>th</w:t>
            </w:r>
            <w:r>
              <w:rPr>
                <w:rFonts w:hint="default" w:ascii="Times New Roman" w:hAnsi="Times New Roman" w:eastAsia="游明朝" w:cs="Times New Roman"/>
                <w:sz w:val="20"/>
                <w:szCs w:val="20"/>
                <w:lang w:eastAsia="ja-JP"/>
              </w:rPr>
              <w:t xml:space="preserve"> dimension: Number of antenna ports</w:t>
            </w:r>
          </w:p>
          <w:p w14:paraId="2D287C95">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5th dimension: Number of layers – present only if &gt;1 layer</w:t>
            </w:r>
          </w:p>
          <w:p w14:paraId="05401BDA">
            <w:pPr>
              <w:pStyle w:val="10"/>
              <w:numPr>
                <w:ilvl w:val="2"/>
                <w:numId w:val="6"/>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Note: Each element of the dataset will be a float32 real number</w:t>
            </w:r>
          </w:p>
          <w:p w14:paraId="3B38532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dataset includes eigenvectors calculated based on average covariance channel matrix for the given MIMO layer for each sub-band based on pre-processing assumptions in WF R4-2414447</w:t>
            </w:r>
          </w:p>
          <w:p w14:paraId="51161B47">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Single file for fixed scalar quantization(only dataset), TBD whether additional file is needed for variable/trainable quantization </w:t>
            </w:r>
          </w:p>
          <w:p w14:paraId="558D273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Dataset files can be split into multiple files to enable easier upload. </w:t>
            </w:r>
          </w:p>
          <w:p w14:paraId="1677FAEA">
            <w:pPr>
              <w:pStyle w:val="10"/>
              <w:numPr>
                <w:ilvl w:val="0"/>
                <w:numId w:val="9"/>
              </w:num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the 2 digits for split files starting from 00, increment for each additional file</w:t>
            </w:r>
          </w:p>
          <w:p w14:paraId="10AC5077">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 xml:space="preserve"> Split files and then archive each file</w:t>
            </w:r>
          </w:p>
        </w:tc>
      </w:tr>
    </w:tbl>
    <w:p w14:paraId="1EA450FC">
      <w:pPr>
        <w:spacing w:after="180" w:line="240" w:lineRule="exact"/>
        <w:rPr>
          <w:rFonts w:hint="eastAsia" w:ascii="Times New Roman" w:hAnsi="Times New Roman" w:eastAsia="等线"/>
          <w:bCs/>
          <w:iCs/>
          <w:sz w:val="20"/>
          <w:szCs w:val="20"/>
          <w:lang w:val="en-US" w:eastAsia="zh-CN"/>
        </w:rPr>
      </w:pPr>
    </w:p>
    <w:p w14:paraId="799CD85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dataset format and training data file format are discussed and agreed. The discussion focus on training data,  while inference data and testing data also need to be considered.</w:t>
      </w:r>
    </w:p>
    <w:p w14:paraId="3936F04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email discussion on data sharing for AI/ML after RAN4 #112 meeting, the common understanding is that testing and inference data should be a subset of the training dataset. From this point of view, no need to have dedicated file to share testing/inference data seperately. But it is necessary to discuss which part of training dataset are used for testing and/or inference so that companies could obtain the alligned testing data and inference data. According to the email discussion, most companies propose that testing dataset should be 10-25% of the training dataset, but this is not enough, at least it also need to allign the location, i.e. it is first 10%~25% or last 10%~25% of training detaset are for testing and/or inference.     </w:t>
      </w:r>
    </w:p>
    <w:p w14:paraId="69A1DA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discuss and allign on which part of training dataset are used for testing and/or inference .</w:t>
      </w:r>
    </w:p>
    <w:p w14:paraId="527F775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issue is about the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lifetime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of the data/model. This can be discussed case by case. For the data/model captured in the TS, the lifetime could be indefinite. For the data/model uploaded as references for requirements definition, the lifetime could be one or several releases. For the data/model uploaded for companies allignement, the lifetime could be one or several meetings.</w:t>
      </w:r>
    </w:p>
    <w:p w14:paraId="1EB2DA2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to discuss the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lifetime</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of the data/model in a case by case manner. At least following cases are considered:</w:t>
      </w:r>
    </w:p>
    <w:p w14:paraId="695B601E">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captured in the TS</w:t>
      </w:r>
    </w:p>
    <w:p w14:paraId="694F2C07">
      <w:pPr>
        <w:numPr>
          <w:ilvl w:val="0"/>
          <w:numId w:val="10"/>
        </w:numPr>
        <w:spacing w:after="180" w:line="240" w:lineRule="exact"/>
        <w:ind w:left="84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uploaded as references for requirements definition</w:t>
      </w:r>
    </w:p>
    <w:p w14:paraId="220A5D1D">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uploaded for companies allignement</w:t>
      </w:r>
    </w:p>
    <w:p w14:paraId="2D86EDF0">
      <w:pPr>
        <w:spacing w:after="180" w:line="240" w:lineRule="exact"/>
        <w:rPr>
          <w:rFonts w:hint="eastAsia" w:ascii="Times New Roman" w:hAnsi="Times New Roman" w:eastAsia="Yu Mincho"/>
          <w:b/>
          <w:bCs/>
          <w:i/>
          <w:iCs/>
          <w:sz w:val="20"/>
          <w:szCs w:val="20"/>
          <w:lang w:val="en-US" w:eastAsia="zh-CN"/>
        </w:rPr>
      </w:pPr>
    </w:p>
    <w:p w14:paraId="3E82CF69">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8E3A8FB">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CSI compression. The proposals are:</w:t>
      </w:r>
    </w:p>
    <w:p w14:paraId="3B042C45">
      <w:pPr>
        <w:spacing w:after="180" w:line="240" w:lineRule="exact"/>
        <w:rPr>
          <w:rFonts w:ascii="Times New Roman" w:hAnsi="Times New Roman" w:eastAsia="Yu Mincho"/>
          <w:b/>
          <w:bCs/>
          <w:i/>
          <w:iCs/>
          <w:sz w:val="20"/>
          <w:szCs w:val="20"/>
          <w:lang w:eastAsia="ja-JP"/>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1</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it is proposed to discuss if option 3 is feasible, whether option 4 is still needed</w:t>
      </w:r>
      <w:r>
        <w:rPr>
          <w:rFonts w:ascii="Times New Roman" w:hAnsi="Times New Roman" w:eastAsia="Yu Mincho"/>
          <w:b/>
          <w:bCs/>
          <w:i/>
          <w:iCs/>
          <w:sz w:val="20"/>
          <w:szCs w:val="20"/>
          <w:lang w:eastAsia="ja-JP"/>
        </w:rPr>
        <w:t>.</w:t>
      </w:r>
    </w:p>
    <w:p w14:paraId="4146F01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discuss and allign on which part of training dataset are used for testing and/or inference .</w:t>
      </w:r>
    </w:p>
    <w:p w14:paraId="56E2B0B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to discuss the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lifetime</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of the data/model in a case by case manner. At least following cases are considered:</w:t>
      </w:r>
    </w:p>
    <w:p w14:paraId="7A433B0D">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captured in the TS</w:t>
      </w:r>
    </w:p>
    <w:p w14:paraId="41291A93">
      <w:pPr>
        <w:numPr>
          <w:ilvl w:val="0"/>
          <w:numId w:val="10"/>
        </w:numPr>
        <w:spacing w:after="180" w:line="240" w:lineRule="exact"/>
        <w:ind w:left="84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uploaded as references for requirements definition</w:t>
      </w:r>
    </w:p>
    <w:p w14:paraId="745D0F7E">
      <w:pPr>
        <w:numPr>
          <w:ilvl w:val="0"/>
          <w:numId w:val="10"/>
        </w:numPr>
        <w:spacing w:after="180" w:line="240" w:lineRule="exact"/>
        <w:ind w:left="840" w:leftChars="0" w:hanging="420" w:firstLine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data/model uploaded for companies allignement</w:t>
      </w:r>
    </w:p>
    <w:p w14:paraId="385898E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058702">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243245, </w:t>
      </w:r>
      <w:r>
        <w:rPr>
          <w:rFonts w:hint="eastAsia" w:ascii="Times" w:hAnsi="Times" w:eastAsia="宋体"/>
          <w:b w:val="0"/>
          <w:sz w:val="20"/>
          <w:lang w:eastAsia="zh-CN"/>
        </w:rPr>
        <w:t>New SID: Study on Artificial Intelligence (AI)/Machine Learning (ML) for NR air interface Phase 2</w:t>
      </w:r>
    </w:p>
    <w:p w14:paraId="58C6DECE">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30ADB86A">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0A4C43B9">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677DFB53">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6C07E5D">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36BA34A8">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293AD1C9">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6F4FCF3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6D7B4C94">
      <w:pPr>
        <w:pStyle w:val="12"/>
        <w:framePr w:wrap="auto" w:vAnchor="margin" w:hAnchor="text" w:yAlign="inline"/>
        <w:ind w:right="400"/>
        <w:jc w:val="both"/>
        <w:rPr>
          <w:rFonts w:ascii="Times" w:hAnsi="Times" w:eastAsia="宋体"/>
          <w:b w:val="0"/>
          <w:sz w:val="20"/>
          <w:lang w:eastAsia="zh-CN"/>
        </w:rPr>
      </w:pPr>
    </w:p>
    <w:p w14:paraId="488D3585">
      <w:pPr>
        <w:pStyle w:val="12"/>
        <w:framePr w:wrap="auto" w:vAnchor="margin" w:hAnchor="text" w:yAlign="inline"/>
        <w:ind w:right="400"/>
        <w:jc w:val="both"/>
        <w:rPr>
          <w:rFonts w:hint="eastAsia" w:ascii="Times" w:hAnsi="Times" w:eastAsia="宋体"/>
          <w:b w:val="0"/>
          <w:sz w:val="20"/>
          <w:lang w:val="en-US" w:eastAsia="zh-CN"/>
        </w:rPr>
      </w:pPr>
    </w:p>
    <w:p w14:paraId="54E9534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0F717"/>
    <w:multiLevelType w:val="singleLevel"/>
    <w:tmpl w:val="39A0F717"/>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EFB341"/>
    <w:multiLevelType w:val="singleLevel"/>
    <w:tmpl w:val="3AEFB341"/>
    <w:lvl w:ilvl="0" w:tentative="0">
      <w:start w:val="1"/>
      <w:numFmt w:val="bullet"/>
      <w:lvlText w:val=""/>
      <w:lvlJc w:val="left"/>
      <w:pPr>
        <w:ind w:left="420" w:hanging="420"/>
      </w:pPr>
      <w:rPr>
        <w:rFonts w:hint="default" w:ascii="Wingdings" w:hAnsi="Wingdings"/>
      </w:rPr>
    </w:lvl>
  </w:abstractNum>
  <w:abstractNum w:abstractNumId="5">
    <w:nsid w:val="484D06AC"/>
    <w:multiLevelType w:val="multilevel"/>
    <w:tmpl w:val="484D06AC"/>
    <w:lvl w:ilvl="0" w:tentative="0">
      <w:start w:val="0"/>
      <w:numFmt w:val="bullet"/>
      <w:lvlText w:val="-"/>
      <w:lvlJc w:val="left"/>
      <w:pPr>
        <w:ind w:left="648" w:hanging="360"/>
      </w:pPr>
      <w:rPr>
        <w:rFonts w:hint="default" w:ascii="Times New Roman" w:hAnsi="Times New Roman" w:eastAsia="游明朝" w:cs="Times New Roman"/>
      </w:rPr>
    </w:lvl>
    <w:lvl w:ilvl="1" w:tentative="0">
      <w:start w:val="1"/>
      <w:numFmt w:val="bullet"/>
      <w:lvlText w:val=""/>
      <w:lvlJc w:val="left"/>
      <w:pPr>
        <w:ind w:left="1168" w:hanging="440"/>
      </w:pPr>
      <w:rPr>
        <w:rFonts w:hint="default" w:ascii="Wingdings" w:hAnsi="Wingdings"/>
      </w:rPr>
    </w:lvl>
    <w:lvl w:ilvl="2" w:tentative="0">
      <w:start w:val="1"/>
      <w:numFmt w:val="bullet"/>
      <w:lvlText w:val=""/>
      <w:lvlJc w:val="left"/>
      <w:pPr>
        <w:ind w:left="1608" w:hanging="440"/>
      </w:pPr>
      <w:rPr>
        <w:rFonts w:hint="default" w:ascii="Wingdings" w:hAnsi="Wingdings"/>
      </w:rPr>
    </w:lvl>
    <w:lvl w:ilvl="3" w:tentative="0">
      <w:start w:val="1"/>
      <w:numFmt w:val="bullet"/>
      <w:lvlText w:val=""/>
      <w:lvlJc w:val="left"/>
      <w:pPr>
        <w:ind w:left="2048" w:hanging="440"/>
      </w:pPr>
      <w:rPr>
        <w:rFonts w:hint="default" w:ascii="Wingdings" w:hAnsi="Wingdings"/>
      </w:rPr>
    </w:lvl>
    <w:lvl w:ilvl="4" w:tentative="0">
      <w:start w:val="1"/>
      <w:numFmt w:val="bullet"/>
      <w:lvlText w:val=""/>
      <w:lvlJc w:val="left"/>
      <w:pPr>
        <w:ind w:left="2488" w:hanging="440"/>
      </w:pPr>
      <w:rPr>
        <w:rFonts w:hint="default" w:ascii="Wingdings" w:hAnsi="Wingdings"/>
      </w:rPr>
    </w:lvl>
    <w:lvl w:ilvl="5" w:tentative="0">
      <w:start w:val="1"/>
      <w:numFmt w:val="bullet"/>
      <w:lvlText w:val=""/>
      <w:lvlJc w:val="left"/>
      <w:pPr>
        <w:ind w:left="2928" w:hanging="440"/>
      </w:pPr>
      <w:rPr>
        <w:rFonts w:hint="default" w:ascii="Wingdings" w:hAnsi="Wingdings"/>
      </w:rPr>
    </w:lvl>
    <w:lvl w:ilvl="6" w:tentative="0">
      <w:start w:val="1"/>
      <w:numFmt w:val="bullet"/>
      <w:lvlText w:val=""/>
      <w:lvlJc w:val="left"/>
      <w:pPr>
        <w:ind w:left="3368" w:hanging="440"/>
      </w:pPr>
      <w:rPr>
        <w:rFonts w:hint="default" w:ascii="Wingdings" w:hAnsi="Wingdings"/>
      </w:rPr>
    </w:lvl>
    <w:lvl w:ilvl="7" w:tentative="0">
      <w:start w:val="1"/>
      <w:numFmt w:val="bullet"/>
      <w:lvlText w:val=""/>
      <w:lvlJc w:val="left"/>
      <w:pPr>
        <w:ind w:left="3808" w:hanging="440"/>
      </w:pPr>
      <w:rPr>
        <w:rFonts w:hint="default" w:ascii="Wingdings" w:hAnsi="Wingdings"/>
      </w:rPr>
    </w:lvl>
    <w:lvl w:ilvl="8" w:tentative="0">
      <w:start w:val="1"/>
      <w:numFmt w:val="bullet"/>
      <w:lvlText w:val=""/>
      <w:lvlJc w:val="left"/>
      <w:pPr>
        <w:ind w:left="4248" w:hanging="440"/>
      </w:pPr>
      <w:rPr>
        <w:rFonts w:hint="default" w:ascii="Wingdings" w:hAnsi="Wingdings"/>
      </w:r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123F646"/>
    <w:multiLevelType w:val="singleLevel"/>
    <w:tmpl w:val="6123F646"/>
    <w:lvl w:ilvl="0" w:tentative="0">
      <w:start w:val="1"/>
      <w:numFmt w:val="bullet"/>
      <w:lvlText w:val=""/>
      <w:lvlJc w:val="left"/>
      <w:pPr>
        <w:tabs>
          <w:tab w:val="left" w:pos="420"/>
        </w:tabs>
        <w:ind w:left="840" w:hanging="420"/>
      </w:pPr>
      <w:rPr>
        <w:rFonts w:hint="default" w:ascii="Wingdings" w:hAnsi="Wingdings"/>
      </w:rPr>
    </w:lvl>
  </w:abstractNum>
  <w:abstractNum w:abstractNumId="9">
    <w:nsid w:val="72A56900"/>
    <w:multiLevelType w:val="multilevel"/>
    <w:tmpl w:val="72A569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3"/>
  </w:num>
  <w:num w:numId="3">
    <w:abstractNumId w:val="1"/>
  </w:num>
  <w:num w:numId="4">
    <w:abstractNumId w:val="2"/>
  </w:num>
  <w:num w:numId="5">
    <w:abstractNumId w:val="6"/>
  </w:num>
  <w:num w:numId="6">
    <w:abstractNumId w:val="7"/>
  </w:num>
  <w:num w:numId="7">
    <w:abstractNumId w:val="4"/>
  </w:num>
  <w:num w:numId="8">
    <w:abstractNumId w:val="9"/>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D36F2"/>
    <w:rsid w:val="04656FC2"/>
    <w:rsid w:val="0A12645E"/>
    <w:rsid w:val="0B7A65B2"/>
    <w:rsid w:val="0F1669F0"/>
    <w:rsid w:val="0FE50EF5"/>
    <w:rsid w:val="15685863"/>
    <w:rsid w:val="15C5068C"/>
    <w:rsid w:val="1A4B52AF"/>
    <w:rsid w:val="1AC47FA8"/>
    <w:rsid w:val="1C9551F4"/>
    <w:rsid w:val="1EBC7C84"/>
    <w:rsid w:val="22D94934"/>
    <w:rsid w:val="237C6B48"/>
    <w:rsid w:val="2ABC535A"/>
    <w:rsid w:val="308E7578"/>
    <w:rsid w:val="31AF2660"/>
    <w:rsid w:val="383B64F5"/>
    <w:rsid w:val="3DEF01B7"/>
    <w:rsid w:val="421B1721"/>
    <w:rsid w:val="432F2884"/>
    <w:rsid w:val="47DD2D54"/>
    <w:rsid w:val="48EF0070"/>
    <w:rsid w:val="4B2B0B52"/>
    <w:rsid w:val="4B9225B0"/>
    <w:rsid w:val="4D3D03C8"/>
    <w:rsid w:val="4E6D0ABA"/>
    <w:rsid w:val="510E3CB2"/>
    <w:rsid w:val="53210098"/>
    <w:rsid w:val="6B545B67"/>
    <w:rsid w:val="6D205895"/>
    <w:rsid w:val="75886832"/>
    <w:rsid w:val="7A89656D"/>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2025-03-28T07:37:49Z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